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23CDA702" w:rsidR="00A941DF" w:rsidRPr="00EE006E" w:rsidRDefault="00BF689A"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#106</w:t>
      </w:r>
      <w:r w:rsidR="005B6441">
        <w:rPr>
          <w:b/>
          <w:sz w:val="24"/>
          <w:szCs w:val="24"/>
        </w:rPr>
        <w:t>bis</w:t>
      </w:r>
      <w:r w:rsidR="004719C3">
        <w:rPr>
          <w:b/>
          <w:sz w:val="24"/>
          <w:szCs w:val="24"/>
        </w:rPr>
        <w:t>-e</w:t>
      </w:r>
      <w:r w:rsidR="00A941DF" w:rsidRPr="00121C7F">
        <w:rPr>
          <w:rFonts w:hint="eastAsia"/>
          <w:b/>
          <w:sz w:val="24"/>
          <w:szCs w:val="24"/>
          <w:lang w:eastAsia="ko-KR"/>
        </w:rPr>
        <w:tab/>
      </w:r>
      <w:r w:rsidR="00453034" w:rsidRPr="00453034">
        <w:rPr>
          <w:b/>
          <w:sz w:val="24"/>
          <w:szCs w:val="24"/>
          <w:lang w:eastAsia="ko-KR"/>
        </w:rPr>
        <w:t>R1-2109525</w:t>
      </w:r>
    </w:p>
    <w:bookmarkEnd w:id="0"/>
    <w:bookmarkEnd w:id="1"/>
    <w:p w14:paraId="38D4F591" w14:textId="60932507"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59777B">
        <w:rPr>
          <w:rFonts w:ascii="Arial" w:hAnsi="Arial"/>
          <w:b/>
          <w:bCs/>
          <w:noProof/>
          <w:sz w:val="24"/>
          <w:szCs w:val="24"/>
        </w:rPr>
        <w:t>October 11th – 1</w:t>
      </w:r>
      <w:bookmarkStart w:id="2" w:name="_GoBack"/>
      <w:bookmarkEnd w:id="2"/>
      <w:r w:rsidR="005B6441">
        <w:rPr>
          <w:rFonts w:ascii="Arial" w:hAnsi="Arial"/>
          <w:b/>
          <w:bCs/>
          <w:noProof/>
          <w:sz w:val="24"/>
          <w:szCs w:val="24"/>
        </w:rPr>
        <w:t>9</w:t>
      </w:r>
      <w:r w:rsidR="00F96764">
        <w:rPr>
          <w:rFonts w:ascii="Arial" w:hAnsi="Arial"/>
          <w:b/>
          <w:bCs/>
          <w:noProof/>
          <w:sz w:val="24"/>
          <w:szCs w:val="24"/>
        </w:rPr>
        <w:t>t</w:t>
      </w:r>
      <w:r w:rsidR="00C0380F">
        <w:rPr>
          <w:rFonts w:ascii="Arial" w:hAnsi="Arial"/>
          <w:b/>
          <w:bCs/>
          <w:noProof/>
          <w:sz w:val="24"/>
          <w:szCs w:val="24"/>
        </w:rPr>
        <w:t>h</w:t>
      </w:r>
      <w:r w:rsidR="006722AB">
        <w:rPr>
          <w:rFonts w:ascii="Arial" w:hAnsi="Arial"/>
          <w:b/>
          <w:bCs/>
          <w:noProof/>
          <w:sz w:val="24"/>
          <w:szCs w:val="24"/>
        </w:rPr>
        <w:t>, 2021</w:t>
      </w:r>
    </w:p>
    <w:p w14:paraId="08664EDD" w14:textId="73D894F0"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A31EC1">
        <w:rPr>
          <w:rFonts w:ascii="Arial" w:hAnsi="Arial"/>
          <w:sz w:val="24"/>
        </w:rPr>
        <w:t>8.17.2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214AA372"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A31EC1" w:rsidRPr="00A31EC1">
        <w:rPr>
          <w:rFonts w:ascii="Arial" w:hAnsi="Arial"/>
          <w:sz w:val="24"/>
        </w:rPr>
        <w:t>UE features for supporting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FF41CA8" w14:textId="0E5DF46B" w:rsidR="00294193" w:rsidRDefault="00294193" w:rsidP="00AF2DD0">
      <w:pPr>
        <w:spacing w:before="240"/>
        <w:rPr>
          <w:lang w:eastAsia="x-none"/>
        </w:rPr>
      </w:pPr>
      <w:r>
        <w:rPr>
          <w:lang w:eastAsia="x-none"/>
        </w:rPr>
        <w:t xml:space="preserve">This contribution </w:t>
      </w:r>
      <w:r w:rsidR="00A31EC1">
        <w:rPr>
          <w:lang w:eastAsia="x-none"/>
        </w:rPr>
        <w:t xml:space="preserve">includes comments for Rel-17 UE features for supporting </w:t>
      </w:r>
      <w:r>
        <w:rPr>
          <w:lang w:eastAsia="x-none"/>
        </w:rPr>
        <w:t xml:space="preserve">NR </w:t>
      </w:r>
      <w:r w:rsidR="00A31EC1">
        <w:rPr>
          <w:lang w:eastAsia="x-none"/>
        </w:rPr>
        <w:t xml:space="preserve">from </w:t>
      </w:r>
      <w:r>
        <w:rPr>
          <w:lang w:eastAsia="x-none"/>
        </w:rPr>
        <w:t xml:space="preserve">52.6 </w:t>
      </w:r>
      <w:r w:rsidR="00A31EC1">
        <w:rPr>
          <w:lang w:eastAsia="x-none"/>
        </w:rPr>
        <w:t xml:space="preserve">GHz </w:t>
      </w:r>
      <w:r>
        <w:rPr>
          <w:lang w:eastAsia="x-none"/>
        </w:rPr>
        <w:t>to 71 GHz</w:t>
      </w:r>
      <w:r w:rsidR="00A31EC1">
        <w:rPr>
          <w:lang w:eastAsia="x-none"/>
        </w:rPr>
        <w:t xml:space="preserve">, as drafted in </w:t>
      </w:r>
      <w:r w:rsidR="00A31EC1" w:rsidRPr="00A31EC1">
        <w:rPr>
          <w:lang w:eastAsia="x-none"/>
        </w:rPr>
        <w:t>R1-2108679</w:t>
      </w:r>
      <w:r w:rsidR="00A31EC1">
        <w:rPr>
          <w:lang w:eastAsia="x-none"/>
        </w:rPr>
        <w:t xml:space="preserve"> [1]</w:t>
      </w:r>
      <w:r>
        <w:rPr>
          <w:lang w:eastAsia="x-none"/>
        </w:rPr>
        <w:t>.</w:t>
      </w:r>
    </w:p>
    <w:p w14:paraId="74565B36" w14:textId="2FEDB196" w:rsidR="0028289A" w:rsidRDefault="00334AE8"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Comments to FG </w:t>
      </w:r>
      <w:r w:rsidR="00AF10C0">
        <w:rPr>
          <w:szCs w:val="20"/>
          <w:lang w:val="en-US"/>
        </w:rPr>
        <w:t>24-1</w:t>
      </w:r>
    </w:p>
    <w:p w14:paraId="310A48C4" w14:textId="7536DF4B" w:rsidR="00025E00" w:rsidRDefault="00AF10C0" w:rsidP="00025E00">
      <w:pPr>
        <w:tabs>
          <w:tab w:val="left" w:pos="1300"/>
        </w:tabs>
        <w:spacing w:after="0"/>
        <w:jc w:val="both"/>
        <w:rPr>
          <w:lang w:eastAsia="x-none"/>
        </w:rPr>
      </w:pPr>
      <w:r>
        <w:rPr>
          <w:lang w:val="en-US"/>
        </w:rPr>
        <w:t xml:space="preserve">RAN and RAN1 have agreed to support 120 kHz SCS as the default numerology for supporting NR from 52.6 GHz to 71 GHz, and support 480 kHz and 960 kHz as optional numerologies subject to UE’s capability. Based on this principle, general support for </w:t>
      </w:r>
      <w:r>
        <w:rPr>
          <w:lang w:eastAsia="x-none"/>
        </w:rPr>
        <w:t xml:space="preserve">NR from 52.6 GHz to 71 GHz with 120 kHz SCS transmission and reception should be a mandatory UE feature, with the type of the UE feature as per band. </w:t>
      </w:r>
    </w:p>
    <w:p w14:paraId="55212FD0" w14:textId="75342A3B" w:rsidR="00AF10C0" w:rsidRDefault="00AF10C0" w:rsidP="00025E00">
      <w:pPr>
        <w:tabs>
          <w:tab w:val="left" w:pos="1300"/>
        </w:tabs>
        <w:spacing w:after="0"/>
        <w:jc w:val="both"/>
        <w:rPr>
          <w:lang w:eastAsia="x-none"/>
        </w:rPr>
      </w:pPr>
    </w:p>
    <w:p w14:paraId="6D451A4F" w14:textId="02830247" w:rsidR="00AF10C0" w:rsidRDefault="00AF10C0" w:rsidP="00025E00">
      <w:pPr>
        <w:tabs>
          <w:tab w:val="left" w:pos="1300"/>
        </w:tabs>
        <w:spacing w:after="0"/>
        <w:jc w:val="both"/>
        <w:rPr>
          <w:lang w:eastAsia="x-none"/>
        </w:rPr>
      </w:pPr>
      <w:r>
        <w:rPr>
          <w:lang w:eastAsia="x-none"/>
        </w:rPr>
        <w:t xml:space="preserve">Meanwhile, </w:t>
      </w:r>
      <w:r w:rsidR="00334AE8">
        <w:rPr>
          <w:lang w:eastAsia="x-none"/>
        </w:rPr>
        <w:t xml:space="preserve">only basic transmission and reception of 120 kHz SCS should be considered as components of the general support, and enhancement features including the support of multi-RB PUCCH formats and PRACH with 120 kHz should be separated out as new features with FG 24-1 as the prerequisite feature group. </w:t>
      </w:r>
    </w:p>
    <w:p w14:paraId="2FBBADC0" w14:textId="4E057418" w:rsidR="00334AE8" w:rsidRDefault="00334AE8" w:rsidP="00025E00">
      <w:pPr>
        <w:tabs>
          <w:tab w:val="left" w:pos="1300"/>
        </w:tabs>
        <w:spacing w:after="0"/>
        <w:jc w:val="both"/>
        <w:rPr>
          <w:lang w:eastAsia="x-none"/>
        </w:rPr>
      </w:pPr>
    </w:p>
    <w:p w14:paraId="42439249" w14:textId="73CF6676" w:rsidR="00334AE8" w:rsidRPr="00445435" w:rsidRDefault="00445435" w:rsidP="00025E00">
      <w:pPr>
        <w:tabs>
          <w:tab w:val="left" w:pos="1300"/>
        </w:tabs>
        <w:spacing w:after="0"/>
        <w:jc w:val="both"/>
        <w:rPr>
          <w:b/>
          <w:u w:val="single"/>
          <w:lang w:eastAsia="x-none"/>
        </w:rPr>
      </w:pPr>
      <w:r>
        <w:rPr>
          <w:b/>
          <w:u w:val="single"/>
          <w:lang w:eastAsia="x-none"/>
        </w:rPr>
        <w:t>Proposal 1: For FG 24-1:</w:t>
      </w:r>
    </w:p>
    <w:p w14:paraId="64613ABC" w14:textId="674EFAC3" w:rsidR="00334AE8" w:rsidRPr="00445435" w:rsidRDefault="00334AE8" w:rsidP="00334AE8">
      <w:pPr>
        <w:pStyle w:val="ListParagraph"/>
        <w:numPr>
          <w:ilvl w:val="0"/>
          <w:numId w:val="37"/>
        </w:numPr>
        <w:tabs>
          <w:tab w:val="left" w:pos="1300"/>
        </w:tabs>
        <w:spacing w:after="0"/>
        <w:ind w:leftChars="0"/>
        <w:jc w:val="both"/>
        <w:rPr>
          <w:b/>
          <w:u w:val="single"/>
          <w:lang w:val="en-US"/>
        </w:rPr>
      </w:pPr>
      <w:r w:rsidRPr="00445435">
        <w:rPr>
          <w:b/>
          <w:u w:val="single"/>
          <w:lang w:val="en-US"/>
        </w:rPr>
        <w:t xml:space="preserve">Only keep “support 120 kHz SCS transmission and reception” as the component, and separate out others as new feature groups </w:t>
      </w:r>
      <w:r w:rsidRPr="00445435">
        <w:rPr>
          <w:b/>
          <w:u w:val="single"/>
          <w:lang w:eastAsia="x-none"/>
        </w:rPr>
        <w:t>with FG 24-1 as the prerequisite feature group;</w:t>
      </w:r>
    </w:p>
    <w:p w14:paraId="2F461A3C" w14:textId="19D78F71" w:rsidR="00334AE8" w:rsidRPr="00445435" w:rsidRDefault="00334AE8" w:rsidP="00334AE8">
      <w:pPr>
        <w:pStyle w:val="ListParagraph"/>
        <w:numPr>
          <w:ilvl w:val="0"/>
          <w:numId w:val="37"/>
        </w:numPr>
        <w:tabs>
          <w:tab w:val="left" w:pos="1300"/>
        </w:tabs>
        <w:spacing w:after="0"/>
        <w:ind w:leftChars="0"/>
        <w:jc w:val="both"/>
        <w:rPr>
          <w:b/>
          <w:u w:val="single"/>
          <w:lang w:val="en-US"/>
        </w:rPr>
      </w:pPr>
      <w:r w:rsidRPr="00445435">
        <w:rPr>
          <w:b/>
          <w:u w:val="single"/>
          <w:lang w:val="en-US"/>
        </w:rPr>
        <w:t>“Type” of the FG is “per band”;</w:t>
      </w:r>
    </w:p>
    <w:p w14:paraId="6956611F" w14:textId="0B729EE4" w:rsidR="00334AE8" w:rsidRPr="00445435" w:rsidRDefault="00334AE8" w:rsidP="00334AE8">
      <w:pPr>
        <w:pStyle w:val="ListParagraph"/>
        <w:numPr>
          <w:ilvl w:val="0"/>
          <w:numId w:val="37"/>
        </w:numPr>
        <w:tabs>
          <w:tab w:val="left" w:pos="1300"/>
        </w:tabs>
        <w:spacing w:after="0"/>
        <w:ind w:leftChars="0"/>
        <w:jc w:val="both"/>
        <w:rPr>
          <w:b/>
          <w:u w:val="single"/>
          <w:lang w:val="en-US"/>
        </w:rPr>
      </w:pPr>
      <w:r w:rsidRPr="00445435">
        <w:rPr>
          <w:b/>
          <w:u w:val="single"/>
          <w:lang w:val="en-US"/>
        </w:rPr>
        <w:t>This FG is “mandatory”.</w:t>
      </w:r>
    </w:p>
    <w:p w14:paraId="2502F196" w14:textId="2C3687F4" w:rsidR="00334AE8" w:rsidRDefault="00334AE8" w:rsidP="00334AE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Comments to FG </w:t>
      </w:r>
      <w:r w:rsidR="000E7E67">
        <w:rPr>
          <w:szCs w:val="20"/>
          <w:lang w:val="en-US"/>
        </w:rPr>
        <w:t xml:space="preserve">24-3, </w:t>
      </w:r>
      <w:r>
        <w:rPr>
          <w:szCs w:val="20"/>
          <w:lang w:val="en-US"/>
        </w:rPr>
        <w:t>24-4</w:t>
      </w:r>
      <w:r w:rsidR="00445435">
        <w:rPr>
          <w:szCs w:val="20"/>
          <w:lang w:val="en-US"/>
        </w:rPr>
        <w:t xml:space="preserve"> and 24-5</w:t>
      </w:r>
    </w:p>
    <w:p w14:paraId="7D571563" w14:textId="6AA89CD2" w:rsidR="00AF10C0" w:rsidRDefault="00445435" w:rsidP="00025E00">
      <w:pPr>
        <w:tabs>
          <w:tab w:val="left" w:pos="1300"/>
        </w:tabs>
        <w:spacing w:after="0"/>
        <w:jc w:val="both"/>
        <w:rPr>
          <w:lang w:val="en-US"/>
        </w:rPr>
      </w:pPr>
      <w:r>
        <w:rPr>
          <w:lang w:val="en-US"/>
        </w:rPr>
        <w:t xml:space="preserve">Similarly, FG 24-4 and FG 24-5 should only include basic transmission and reception operations for 480 kHz and 960 kHz SCS, respectively, and enhancements regarding the SSB monitoring, multi-slot PDCCH monitoring, and PRACH should be separated out as new feature groups. </w:t>
      </w:r>
    </w:p>
    <w:p w14:paraId="619522FE" w14:textId="316C4A08" w:rsidR="00445435" w:rsidRDefault="00445435" w:rsidP="00025E00">
      <w:pPr>
        <w:tabs>
          <w:tab w:val="left" w:pos="1300"/>
        </w:tabs>
        <w:spacing w:after="0"/>
        <w:jc w:val="both"/>
        <w:rPr>
          <w:lang w:val="en-US"/>
        </w:rPr>
      </w:pPr>
    </w:p>
    <w:p w14:paraId="2260F3FE" w14:textId="62B16F44" w:rsidR="00445435" w:rsidRDefault="00445435" w:rsidP="00025E00">
      <w:pPr>
        <w:tabs>
          <w:tab w:val="left" w:pos="1300"/>
        </w:tabs>
        <w:spacing w:after="0"/>
        <w:jc w:val="both"/>
        <w:rPr>
          <w:lang w:val="en-US"/>
        </w:rPr>
      </w:pPr>
      <w:r>
        <w:rPr>
          <w:lang w:val="en-US"/>
        </w:rPr>
        <w:t xml:space="preserve">It also needs to be clarified that FG </w:t>
      </w:r>
      <w:r w:rsidR="000E7E67">
        <w:rPr>
          <w:lang w:val="en-US"/>
        </w:rPr>
        <w:t xml:space="preserve">24-3, </w:t>
      </w:r>
      <w:r w:rsidR="00DB0B35">
        <w:rPr>
          <w:lang w:val="en-US"/>
        </w:rPr>
        <w:t xml:space="preserve">FG </w:t>
      </w:r>
      <w:r>
        <w:rPr>
          <w:lang w:val="en-US"/>
        </w:rPr>
        <w:t xml:space="preserve">24-4 and FG 24-5 are per band, and optional. </w:t>
      </w:r>
    </w:p>
    <w:p w14:paraId="0A3C916D" w14:textId="50A3B88C" w:rsidR="00625192" w:rsidRDefault="00625192" w:rsidP="00025E00">
      <w:pPr>
        <w:tabs>
          <w:tab w:val="left" w:pos="1300"/>
        </w:tabs>
        <w:spacing w:after="0"/>
        <w:jc w:val="both"/>
        <w:rPr>
          <w:lang w:val="en-US"/>
        </w:rPr>
      </w:pPr>
    </w:p>
    <w:p w14:paraId="33EBA44F" w14:textId="354CCEC0" w:rsidR="00625192" w:rsidRDefault="00625192" w:rsidP="00025E00">
      <w:pPr>
        <w:tabs>
          <w:tab w:val="left" w:pos="1300"/>
        </w:tabs>
        <w:spacing w:after="0"/>
        <w:jc w:val="both"/>
        <w:rPr>
          <w:lang w:val="en-US"/>
        </w:rPr>
      </w:pPr>
      <w:r>
        <w:rPr>
          <w:lang w:val="en-US"/>
        </w:rPr>
        <w:t>Meanwhile, the FGs for SSB reception and data reception should be separated and may not need to be p</w:t>
      </w:r>
      <w:r w:rsidRPr="00625192">
        <w:rPr>
          <w:lang w:val="en-US"/>
        </w:rPr>
        <w:t>rerequisite</w:t>
      </w:r>
      <w:r>
        <w:rPr>
          <w:lang w:val="en-US"/>
        </w:rPr>
        <w:t xml:space="preserve"> from each other. </w:t>
      </w:r>
    </w:p>
    <w:p w14:paraId="1C506FC4" w14:textId="54DC81DA" w:rsidR="00334AE8" w:rsidRDefault="00334AE8" w:rsidP="00025E00">
      <w:pPr>
        <w:tabs>
          <w:tab w:val="left" w:pos="1300"/>
        </w:tabs>
        <w:spacing w:after="0"/>
        <w:jc w:val="both"/>
        <w:rPr>
          <w:lang w:val="en-US"/>
        </w:rPr>
      </w:pPr>
    </w:p>
    <w:p w14:paraId="02074F9F" w14:textId="7B890C81" w:rsidR="00445435" w:rsidRPr="00445435" w:rsidRDefault="00445435" w:rsidP="00445435">
      <w:pPr>
        <w:tabs>
          <w:tab w:val="left" w:pos="1300"/>
        </w:tabs>
        <w:spacing w:after="0"/>
        <w:jc w:val="both"/>
        <w:rPr>
          <w:b/>
          <w:u w:val="single"/>
          <w:lang w:eastAsia="x-none"/>
        </w:rPr>
      </w:pPr>
      <w:r w:rsidRPr="00445435">
        <w:rPr>
          <w:b/>
          <w:u w:val="single"/>
          <w:lang w:eastAsia="x-none"/>
        </w:rPr>
        <w:t xml:space="preserve">Proposal </w:t>
      </w:r>
      <w:r>
        <w:rPr>
          <w:b/>
          <w:u w:val="single"/>
          <w:lang w:eastAsia="x-none"/>
        </w:rPr>
        <w:t xml:space="preserve">2: For </w:t>
      </w:r>
      <w:r w:rsidR="000E7E67">
        <w:rPr>
          <w:b/>
          <w:u w:val="single"/>
          <w:lang w:eastAsia="x-none"/>
        </w:rPr>
        <w:t xml:space="preserve">FG 24-3, </w:t>
      </w:r>
      <w:r>
        <w:rPr>
          <w:b/>
          <w:u w:val="single"/>
          <w:lang w:eastAsia="x-none"/>
        </w:rPr>
        <w:t>FG 24-4 and FG 24-5:</w:t>
      </w:r>
    </w:p>
    <w:p w14:paraId="6D8647DF" w14:textId="6F529E43" w:rsidR="00445435" w:rsidRPr="00445435" w:rsidRDefault="00445435" w:rsidP="00445435">
      <w:pPr>
        <w:pStyle w:val="ListParagraph"/>
        <w:numPr>
          <w:ilvl w:val="0"/>
          <w:numId w:val="37"/>
        </w:numPr>
        <w:tabs>
          <w:tab w:val="left" w:pos="1300"/>
        </w:tabs>
        <w:spacing w:after="0"/>
        <w:ind w:leftChars="0"/>
        <w:jc w:val="both"/>
        <w:rPr>
          <w:b/>
          <w:u w:val="single"/>
          <w:lang w:val="en-US"/>
        </w:rPr>
      </w:pPr>
      <w:r>
        <w:rPr>
          <w:b/>
          <w:u w:val="single"/>
        </w:rPr>
        <w:t>S</w:t>
      </w:r>
      <w:r w:rsidRPr="00445435">
        <w:rPr>
          <w:b/>
          <w:u w:val="single"/>
          <w:lang w:val="en-US"/>
        </w:rPr>
        <w:t xml:space="preserve">eparate out </w:t>
      </w:r>
      <w:r>
        <w:rPr>
          <w:b/>
          <w:u w:val="single"/>
          <w:lang w:val="en-US"/>
        </w:rPr>
        <w:t>“SSB monitoring”, “multi-slot PDCCH monitoring”, and “PRACH”</w:t>
      </w:r>
      <w:r w:rsidRPr="00445435">
        <w:rPr>
          <w:b/>
          <w:u w:val="single"/>
          <w:lang w:val="en-US"/>
        </w:rPr>
        <w:t xml:space="preserve"> </w:t>
      </w:r>
      <w:r w:rsidR="00653387">
        <w:rPr>
          <w:b/>
          <w:u w:val="single"/>
          <w:lang w:val="en-US"/>
        </w:rPr>
        <w:t xml:space="preserve">from FG 24-4 and FG 24-5 </w:t>
      </w:r>
      <w:r w:rsidRPr="00445435">
        <w:rPr>
          <w:b/>
          <w:u w:val="single"/>
          <w:lang w:val="en-US"/>
        </w:rPr>
        <w:t>as new feature groups</w:t>
      </w:r>
      <w:r w:rsidRPr="00445435">
        <w:rPr>
          <w:b/>
          <w:u w:val="single"/>
          <w:lang w:eastAsia="x-none"/>
        </w:rPr>
        <w:t>;</w:t>
      </w:r>
    </w:p>
    <w:p w14:paraId="5380304C" w14:textId="2A77CBFB" w:rsidR="00445435" w:rsidRPr="00445435" w:rsidRDefault="00653387" w:rsidP="00445435">
      <w:pPr>
        <w:pStyle w:val="ListParagraph"/>
        <w:numPr>
          <w:ilvl w:val="0"/>
          <w:numId w:val="37"/>
        </w:numPr>
        <w:tabs>
          <w:tab w:val="left" w:pos="1300"/>
        </w:tabs>
        <w:spacing w:after="0"/>
        <w:ind w:leftChars="0"/>
        <w:jc w:val="both"/>
        <w:rPr>
          <w:b/>
          <w:u w:val="single"/>
          <w:lang w:val="en-US"/>
        </w:rPr>
      </w:pPr>
      <w:r>
        <w:rPr>
          <w:b/>
          <w:u w:val="single"/>
          <w:lang w:val="en-US"/>
        </w:rPr>
        <w:t>T</w:t>
      </w:r>
      <w:r w:rsidR="00445435" w:rsidRPr="00445435">
        <w:rPr>
          <w:b/>
          <w:u w:val="single"/>
          <w:lang w:val="en-US"/>
        </w:rPr>
        <w:t>he</w:t>
      </w:r>
      <w:r>
        <w:rPr>
          <w:b/>
          <w:u w:val="single"/>
          <w:lang w:val="en-US"/>
        </w:rPr>
        <w:t xml:space="preserve">se FGs are </w:t>
      </w:r>
      <w:r w:rsidR="00445435" w:rsidRPr="00445435">
        <w:rPr>
          <w:b/>
          <w:u w:val="single"/>
          <w:lang w:val="en-US"/>
        </w:rPr>
        <w:t>“per band”;</w:t>
      </w:r>
    </w:p>
    <w:p w14:paraId="77C9AEF2" w14:textId="74A93112" w:rsidR="00445435" w:rsidRDefault="00445435" w:rsidP="00445435">
      <w:pPr>
        <w:pStyle w:val="ListParagraph"/>
        <w:numPr>
          <w:ilvl w:val="0"/>
          <w:numId w:val="37"/>
        </w:numPr>
        <w:tabs>
          <w:tab w:val="left" w:pos="1300"/>
        </w:tabs>
        <w:spacing w:after="0"/>
        <w:ind w:leftChars="0"/>
        <w:jc w:val="both"/>
        <w:rPr>
          <w:b/>
          <w:u w:val="single"/>
          <w:lang w:val="en-US"/>
        </w:rPr>
      </w:pPr>
      <w:r>
        <w:rPr>
          <w:b/>
          <w:u w:val="single"/>
          <w:lang w:val="en-US"/>
        </w:rPr>
        <w:t xml:space="preserve">These FGs are </w:t>
      </w:r>
      <w:r w:rsidRPr="00445435">
        <w:rPr>
          <w:b/>
          <w:u w:val="single"/>
          <w:lang w:val="en-US"/>
        </w:rPr>
        <w:t>“</w:t>
      </w:r>
      <w:r>
        <w:rPr>
          <w:b/>
          <w:u w:val="single"/>
          <w:lang w:val="en-US"/>
        </w:rPr>
        <w:t>optional</w:t>
      </w:r>
      <w:r w:rsidR="00625192">
        <w:rPr>
          <w:b/>
          <w:u w:val="single"/>
          <w:lang w:val="en-US"/>
        </w:rPr>
        <w:t>”;</w:t>
      </w:r>
    </w:p>
    <w:p w14:paraId="678A84A7" w14:textId="09608B5A" w:rsidR="00625192" w:rsidRPr="00445435" w:rsidRDefault="00625192" w:rsidP="00445435">
      <w:pPr>
        <w:pStyle w:val="ListParagraph"/>
        <w:numPr>
          <w:ilvl w:val="0"/>
          <w:numId w:val="37"/>
        </w:numPr>
        <w:tabs>
          <w:tab w:val="left" w:pos="1300"/>
        </w:tabs>
        <w:spacing w:after="0"/>
        <w:ind w:leftChars="0"/>
        <w:jc w:val="both"/>
        <w:rPr>
          <w:b/>
          <w:u w:val="single"/>
          <w:lang w:val="en-US"/>
        </w:rPr>
      </w:pPr>
      <w:r>
        <w:rPr>
          <w:b/>
          <w:u w:val="single"/>
          <w:lang w:val="en-US"/>
        </w:rPr>
        <w:t>FG 24-3 doesn’t require FG 24-4 (after the separation) as perquisite FG.</w:t>
      </w:r>
    </w:p>
    <w:p w14:paraId="2E28A67F" w14:textId="09652145" w:rsidR="00334AE8" w:rsidRDefault="00445435" w:rsidP="00334AE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Additional FGs Based on Agreements</w:t>
      </w:r>
    </w:p>
    <w:p w14:paraId="7C6AF43C" w14:textId="6BDB855B" w:rsidR="00334AE8" w:rsidRDefault="006A74CB" w:rsidP="00025E00">
      <w:pPr>
        <w:tabs>
          <w:tab w:val="left" w:pos="1300"/>
        </w:tabs>
        <w:spacing w:after="0"/>
        <w:jc w:val="both"/>
        <w:rPr>
          <w:lang w:val="en-US"/>
        </w:rPr>
      </w:pPr>
      <w:r>
        <w:rPr>
          <w:lang w:val="en-US"/>
        </w:rPr>
        <w:t xml:space="preserve">The current list in </w:t>
      </w:r>
      <w:r w:rsidRPr="00A31EC1">
        <w:rPr>
          <w:lang w:eastAsia="x-none"/>
        </w:rPr>
        <w:t>R1-2108679</w:t>
      </w:r>
      <w:r>
        <w:rPr>
          <w:lang w:eastAsia="x-none"/>
        </w:rPr>
        <w:t xml:space="preserve"> [1] is not exhausted, and there are agreed features subject to UE capabilities not captured in the list. We observed at least the following feature groups should be added. </w:t>
      </w:r>
    </w:p>
    <w:p w14:paraId="49D9702F" w14:textId="35B19BA8" w:rsidR="00334AE8" w:rsidRDefault="00334AE8" w:rsidP="00025E00">
      <w:pPr>
        <w:tabs>
          <w:tab w:val="left" w:pos="1300"/>
        </w:tabs>
        <w:spacing w:after="0"/>
        <w:jc w:val="both"/>
        <w:rPr>
          <w:lang w:val="en-US"/>
        </w:rPr>
      </w:pPr>
    </w:p>
    <w:p w14:paraId="79AD5B0A" w14:textId="22A7764E" w:rsidR="00334AE8" w:rsidRPr="006A74CB" w:rsidRDefault="006A74CB" w:rsidP="00025E00">
      <w:pPr>
        <w:tabs>
          <w:tab w:val="left" w:pos="1300"/>
        </w:tabs>
        <w:spacing w:after="0"/>
        <w:jc w:val="both"/>
        <w:rPr>
          <w:b/>
          <w:u w:val="single"/>
          <w:lang w:val="en-US"/>
        </w:rPr>
      </w:pPr>
      <w:r w:rsidRPr="006A74CB">
        <w:rPr>
          <w:b/>
          <w:u w:val="single"/>
          <w:lang w:val="en-US"/>
        </w:rPr>
        <w:t xml:space="preserve">Proposal 3: Add the following </w:t>
      </w:r>
      <w:r>
        <w:rPr>
          <w:b/>
          <w:u w:val="single"/>
          <w:lang w:val="en-US"/>
        </w:rPr>
        <w:t>FGs</w:t>
      </w:r>
      <w:r w:rsidR="00625192">
        <w:rPr>
          <w:b/>
          <w:u w:val="single"/>
          <w:lang w:val="en-US"/>
        </w:rPr>
        <w:t xml:space="preserve"> requiring capability signalling</w:t>
      </w:r>
      <w:r>
        <w:rPr>
          <w:b/>
          <w:u w:val="single"/>
          <w:lang w:val="en-US"/>
        </w:rPr>
        <w:t>:</w:t>
      </w:r>
    </w:p>
    <w:p w14:paraId="7CB058BA" w14:textId="7E1EBF5F" w:rsidR="006A74CB" w:rsidRPr="006A74CB" w:rsidRDefault="006A74CB" w:rsidP="006A74CB">
      <w:pPr>
        <w:pStyle w:val="ListParagraph"/>
        <w:numPr>
          <w:ilvl w:val="0"/>
          <w:numId w:val="38"/>
        </w:numPr>
        <w:spacing w:after="0"/>
        <w:ind w:leftChars="0"/>
        <w:rPr>
          <w:rFonts w:eastAsiaTheme="minorEastAsia"/>
          <w:b/>
          <w:u w:val="single"/>
          <w:lang w:val="en-US"/>
        </w:rPr>
      </w:pPr>
      <w:r w:rsidRPr="006A74CB">
        <w:rPr>
          <w:b/>
          <w:u w:val="single"/>
        </w:rPr>
        <w:lastRenderedPageBreak/>
        <w:t>2 codeword transmission for PDSCH</w:t>
      </w:r>
      <w:r w:rsidR="00625192">
        <w:rPr>
          <w:b/>
          <w:u w:val="single"/>
        </w:rPr>
        <w:t>, per band</w:t>
      </w:r>
      <w:r>
        <w:rPr>
          <w:b/>
          <w:u w:val="single"/>
        </w:rPr>
        <w:t>;</w:t>
      </w:r>
    </w:p>
    <w:p w14:paraId="1448C2A5" w14:textId="2EFC9BFC" w:rsidR="006A74CB" w:rsidRPr="006A74CB" w:rsidRDefault="006A74CB" w:rsidP="006A74CB">
      <w:pPr>
        <w:pStyle w:val="ListParagraph"/>
        <w:numPr>
          <w:ilvl w:val="0"/>
          <w:numId w:val="38"/>
        </w:numPr>
        <w:spacing w:after="0"/>
        <w:ind w:leftChars="0"/>
        <w:rPr>
          <w:b/>
          <w:u w:val="single"/>
        </w:rPr>
      </w:pPr>
      <w:r w:rsidRPr="006A74CB">
        <w:rPr>
          <w:b/>
          <w:u w:val="single"/>
        </w:rPr>
        <w:t>Multiple PDSCH scheduled in a slot for 120 kHz SCS and single TRP operation</w:t>
      </w:r>
      <w:r w:rsidR="00625192">
        <w:rPr>
          <w:b/>
          <w:u w:val="single"/>
        </w:rPr>
        <w:t>, per band</w:t>
      </w:r>
      <w:r>
        <w:rPr>
          <w:b/>
          <w:u w:val="single"/>
        </w:rPr>
        <w:t>;</w:t>
      </w:r>
    </w:p>
    <w:p w14:paraId="465FFD25" w14:textId="6B614E88" w:rsidR="006A74CB" w:rsidRPr="006A74CB" w:rsidRDefault="006A74CB" w:rsidP="006A74CB">
      <w:pPr>
        <w:pStyle w:val="ListParagraph"/>
        <w:numPr>
          <w:ilvl w:val="0"/>
          <w:numId w:val="38"/>
        </w:numPr>
        <w:spacing w:after="0"/>
        <w:ind w:leftChars="0"/>
        <w:rPr>
          <w:b/>
          <w:u w:val="single"/>
        </w:rPr>
      </w:pPr>
      <w:r w:rsidRPr="006A74CB">
        <w:rPr>
          <w:b/>
          <w:u w:val="single"/>
        </w:rPr>
        <w:t>Multiple PUSCH scheduled in a slot for 120 kHz SCS and single TRP operation</w:t>
      </w:r>
      <w:r w:rsidR="00625192">
        <w:rPr>
          <w:b/>
          <w:u w:val="single"/>
        </w:rPr>
        <w:t>, per band</w:t>
      </w:r>
      <w:r>
        <w:rPr>
          <w:b/>
          <w:u w:val="single"/>
        </w:rPr>
        <w:t>;</w:t>
      </w:r>
    </w:p>
    <w:p w14:paraId="6B7F6009" w14:textId="2B932F80" w:rsidR="006A74CB" w:rsidRPr="006A74CB" w:rsidRDefault="006A74CB" w:rsidP="006A74CB">
      <w:pPr>
        <w:pStyle w:val="ListParagraph"/>
        <w:numPr>
          <w:ilvl w:val="0"/>
          <w:numId w:val="38"/>
        </w:numPr>
        <w:spacing w:after="0"/>
        <w:ind w:leftChars="0"/>
        <w:rPr>
          <w:b/>
          <w:u w:val="single"/>
        </w:rPr>
      </w:pPr>
      <w:r w:rsidRPr="006A74CB">
        <w:rPr>
          <w:b/>
          <w:u w:val="single"/>
        </w:rPr>
        <w:t>32 maximum number of HARQ processes for DL</w:t>
      </w:r>
      <w:r w:rsidR="00625192">
        <w:rPr>
          <w:b/>
          <w:u w:val="single"/>
        </w:rPr>
        <w:t>, per FSPC</w:t>
      </w:r>
      <w:r>
        <w:rPr>
          <w:b/>
          <w:u w:val="single"/>
        </w:rPr>
        <w:t>;</w:t>
      </w:r>
    </w:p>
    <w:p w14:paraId="1094332E" w14:textId="3C60C087" w:rsidR="006A74CB" w:rsidRPr="006A74CB" w:rsidRDefault="006A74CB" w:rsidP="006A74CB">
      <w:pPr>
        <w:pStyle w:val="ListParagraph"/>
        <w:numPr>
          <w:ilvl w:val="0"/>
          <w:numId w:val="38"/>
        </w:numPr>
        <w:spacing w:after="0"/>
        <w:ind w:leftChars="0"/>
        <w:rPr>
          <w:b/>
          <w:u w:val="single"/>
        </w:rPr>
      </w:pPr>
      <w:r w:rsidRPr="006A74CB">
        <w:rPr>
          <w:b/>
          <w:u w:val="single"/>
        </w:rPr>
        <w:t>32 maximum number of HARQ processes for UL</w:t>
      </w:r>
      <w:r w:rsidR="00625192">
        <w:rPr>
          <w:b/>
          <w:u w:val="single"/>
        </w:rPr>
        <w:t>, per FSPC</w:t>
      </w:r>
      <w:r>
        <w:rPr>
          <w:b/>
          <w:u w:val="single"/>
        </w:rPr>
        <w:t>.</w:t>
      </w:r>
    </w:p>
    <w:p w14:paraId="41D7506D" w14:textId="09B1F572" w:rsidR="006A74CB" w:rsidRDefault="006A74CB" w:rsidP="006A74C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Additional FGs Carried Over From NR-U</w:t>
      </w:r>
    </w:p>
    <w:p w14:paraId="7C353731" w14:textId="2067BFDD" w:rsidR="006A74CB" w:rsidRDefault="006A74CB" w:rsidP="006A74CB">
      <w:pPr>
        <w:tabs>
          <w:tab w:val="left" w:pos="1300"/>
        </w:tabs>
        <w:spacing w:after="0"/>
        <w:jc w:val="both"/>
        <w:rPr>
          <w:lang w:eastAsia="x-none"/>
        </w:rPr>
      </w:pPr>
      <w:r>
        <w:rPr>
          <w:lang w:val="en-US"/>
        </w:rPr>
        <w:t xml:space="preserve">For the 60 GHz unlicensed band, many features from Rel-16 NR-U for resisting the impact from LBT should be carried over by default, as captured in the TR. Additional FGs should be added to current list in </w:t>
      </w:r>
      <w:r w:rsidRPr="00A31EC1">
        <w:rPr>
          <w:lang w:eastAsia="x-none"/>
        </w:rPr>
        <w:t>R1-2108679</w:t>
      </w:r>
      <w:r>
        <w:rPr>
          <w:lang w:eastAsia="x-none"/>
        </w:rPr>
        <w:t xml:space="preserve"> [1], using Rel-16 NR-U FGs as a baseline. </w:t>
      </w:r>
    </w:p>
    <w:p w14:paraId="473839DB" w14:textId="531065B7" w:rsidR="006A74CB" w:rsidRDefault="006A74CB" w:rsidP="006A74CB">
      <w:pPr>
        <w:tabs>
          <w:tab w:val="left" w:pos="1300"/>
        </w:tabs>
        <w:spacing w:after="0"/>
        <w:jc w:val="both"/>
        <w:rPr>
          <w:lang w:eastAsia="x-none"/>
        </w:rPr>
      </w:pPr>
    </w:p>
    <w:p w14:paraId="2DD7C72C" w14:textId="5877D58F" w:rsidR="006A74CB" w:rsidRPr="006A74CB" w:rsidRDefault="006A74CB" w:rsidP="006A74CB">
      <w:pPr>
        <w:tabs>
          <w:tab w:val="left" w:pos="1300"/>
        </w:tabs>
        <w:spacing w:after="0"/>
        <w:jc w:val="both"/>
        <w:rPr>
          <w:b/>
          <w:u w:val="single"/>
          <w:lang w:val="en-US"/>
        </w:rPr>
      </w:pPr>
      <w:r w:rsidRPr="006A74CB">
        <w:rPr>
          <w:b/>
          <w:u w:val="single"/>
          <w:lang w:val="en-US"/>
        </w:rPr>
        <w:t>Prop</w:t>
      </w:r>
      <w:r>
        <w:rPr>
          <w:b/>
          <w:u w:val="single"/>
          <w:lang w:val="en-US"/>
        </w:rPr>
        <w:t>osal 4</w:t>
      </w:r>
      <w:r w:rsidRPr="006A74CB">
        <w:rPr>
          <w:b/>
          <w:u w:val="single"/>
          <w:lang w:val="en-US"/>
        </w:rPr>
        <w:t xml:space="preserve">: </w:t>
      </w:r>
      <w:r>
        <w:rPr>
          <w:b/>
          <w:u w:val="single"/>
          <w:lang w:val="en-US"/>
        </w:rPr>
        <w:t>For 60 GHz unlicensed band, a</w:t>
      </w:r>
      <w:r w:rsidRPr="006A74CB">
        <w:rPr>
          <w:b/>
          <w:u w:val="single"/>
          <w:lang w:val="en-US"/>
        </w:rPr>
        <w:t xml:space="preserve">dd </w:t>
      </w:r>
      <w:r>
        <w:rPr>
          <w:b/>
          <w:u w:val="single"/>
          <w:lang w:val="en-US"/>
        </w:rPr>
        <w:t>more FGs carried over from Rel-16 NR-U.</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080C5E10" w14:textId="0848A87E" w:rsidR="00053892" w:rsidRDefault="00137044" w:rsidP="00AF10C0">
      <w:r>
        <w:t xml:space="preserve">The </w:t>
      </w:r>
      <w:r w:rsidR="0028289A">
        <w:t>proposals</w:t>
      </w:r>
      <w:r w:rsidR="00815493" w:rsidRPr="00816B5E">
        <w:t xml:space="preserve"> made in this contribution </w:t>
      </w:r>
      <w:r w:rsidR="001855F9">
        <w:t>are</w:t>
      </w:r>
      <w:r w:rsidR="00815493" w:rsidRPr="00816B5E">
        <w:t xml:space="preserve"> summarized below:</w:t>
      </w:r>
    </w:p>
    <w:p w14:paraId="300FD3AA" w14:textId="77777777" w:rsidR="005D3C76" w:rsidRPr="00445435" w:rsidRDefault="005D3C76" w:rsidP="005D3C76">
      <w:pPr>
        <w:tabs>
          <w:tab w:val="left" w:pos="1300"/>
        </w:tabs>
        <w:spacing w:after="0"/>
        <w:jc w:val="both"/>
        <w:rPr>
          <w:b/>
          <w:u w:val="single"/>
          <w:lang w:eastAsia="x-none"/>
        </w:rPr>
      </w:pPr>
      <w:r>
        <w:rPr>
          <w:b/>
          <w:u w:val="single"/>
          <w:lang w:eastAsia="x-none"/>
        </w:rPr>
        <w:t>Proposal 1: For FG 24-1:</w:t>
      </w:r>
    </w:p>
    <w:p w14:paraId="6A37F8F2" w14:textId="77777777" w:rsidR="005D3C76" w:rsidRPr="00445435" w:rsidRDefault="005D3C76" w:rsidP="005D3C76">
      <w:pPr>
        <w:pStyle w:val="ListParagraph"/>
        <w:numPr>
          <w:ilvl w:val="0"/>
          <w:numId w:val="37"/>
        </w:numPr>
        <w:tabs>
          <w:tab w:val="left" w:pos="1300"/>
        </w:tabs>
        <w:spacing w:after="0"/>
        <w:ind w:leftChars="0"/>
        <w:jc w:val="both"/>
        <w:rPr>
          <w:b/>
          <w:u w:val="single"/>
          <w:lang w:val="en-US"/>
        </w:rPr>
      </w:pPr>
      <w:r w:rsidRPr="00445435">
        <w:rPr>
          <w:b/>
          <w:u w:val="single"/>
          <w:lang w:val="en-US"/>
        </w:rPr>
        <w:t xml:space="preserve">Only keep “support 120 kHz SCS transmission and reception” as the component, and separate out others as new feature groups </w:t>
      </w:r>
      <w:r w:rsidRPr="00445435">
        <w:rPr>
          <w:b/>
          <w:u w:val="single"/>
          <w:lang w:eastAsia="x-none"/>
        </w:rPr>
        <w:t>with FG 24-1 as the prerequisite feature group;</w:t>
      </w:r>
    </w:p>
    <w:p w14:paraId="0056541A" w14:textId="77777777" w:rsidR="005D3C76" w:rsidRPr="00445435" w:rsidRDefault="005D3C76" w:rsidP="005D3C76">
      <w:pPr>
        <w:pStyle w:val="ListParagraph"/>
        <w:numPr>
          <w:ilvl w:val="0"/>
          <w:numId w:val="37"/>
        </w:numPr>
        <w:tabs>
          <w:tab w:val="left" w:pos="1300"/>
        </w:tabs>
        <w:spacing w:after="0"/>
        <w:ind w:leftChars="0"/>
        <w:jc w:val="both"/>
        <w:rPr>
          <w:b/>
          <w:u w:val="single"/>
          <w:lang w:val="en-US"/>
        </w:rPr>
      </w:pPr>
      <w:r w:rsidRPr="00445435">
        <w:rPr>
          <w:b/>
          <w:u w:val="single"/>
          <w:lang w:val="en-US"/>
        </w:rPr>
        <w:t>“Type” of the FG is “per band”;</w:t>
      </w:r>
    </w:p>
    <w:p w14:paraId="0AE52A69" w14:textId="243FE1FE" w:rsidR="005D3C76" w:rsidRDefault="005D3C76" w:rsidP="005D3C76">
      <w:pPr>
        <w:pStyle w:val="ListParagraph"/>
        <w:numPr>
          <w:ilvl w:val="0"/>
          <w:numId w:val="37"/>
        </w:numPr>
        <w:tabs>
          <w:tab w:val="left" w:pos="1300"/>
        </w:tabs>
        <w:spacing w:after="0"/>
        <w:ind w:leftChars="0"/>
        <w:jc w:val="both"/>
        <w:rPr>
          <w:b/>
          <w:u w:val="single"/>
          <w:lang w:val="en-US"/>
        </w:rPr>
      </w:pPr>
      <w:r w:rsidRPr="00445435">
        <w:rPr>
          <w:b/>
          <w:u w:val="single"/>
          <w:lang w:val="en-US"/>
        </w:rPr>
        <w:t>This FG is “mandatory”.</w:t>
      </w:r>
    </w:p>
    <w:p w14:paraId="41CD9F9F" w14:textId="0C5F16C9" w:rsidR="005D3C76" w:rsidRDefault="005D3C76" w:rsidP="005D3C76">
      <w:pPr>
        <w:tabs>
          <w:tab w:val="left" w:pos="1300"/>
        </w:tabs>
        <w:spacing w:after="0"/>
        <w:jc w:val="both"/>
        <w:rPr>
          <w:b/>
          <w:u w:val="single"/>
          <w:lang w:val="en-US"/>
        </w:rPr>
      </w:pPr>
    </w:p>
    <w:p w14:paraId="2772F8D0" w14:textId="77777777" w:rsidR="005D3C76" w:rsidRPr="00445435" w:rsidRDefault="005D3C76" w:rsidP="005D3C76">
      <w:pPr>
        <w:tabs>
          <w:tab w:val="left" w:pos="1300"/>
        </w:tabs>
        <w:spacing w:after="0"/>
        <w:jc w:val="both"/>
        <w:rPr>
          <w:b/>
          <w:u w:val="single"/>
          <w:lang w:eastAsia="x-none"/>
        </w:rPr>
      </w:pPr>
      <w:r w:rsidRPr="00445435">
        <w:rPr>
          <w:b/>
          <w:u w:val="single"/>
          <w:lang w:eastAsia="x-none"/>
        </w:rPr>
        <w:t xml:space="preserve">Proposal </w:t>
      </w:r>
      <w:r>
        <w:rPr>
          <w:b/>
          <w:u w:val="single"/>
          <w:lang w:eastAsia="x-none"/>
        </w:rPr>
        <w:t>2: For FG 24-3, FG 24-4 and FG 24-5:</w:t>
      </w:r>
    </w:p>
    <w:p w14:paraId="00C00847" w14:textId="77777777" w:rsidR="005D3C76" w:rsidRPr="00445435" w:rsidRDefault="005D3C76" w:rsidP="005D3C76">
      <w:pPr>
        <w:pStyle w:val="ListParagraph"/>
        <w:numPr>
          <w:ilvl w:val="0"/>
          <w:numId w:val="37"/>
        </w:numPr>
        <w:tabs>
          <w:tab w:val="left" w:pos="1300"/>
        </w:tabs>
        <w:spacing w:after="0"/>
        <w:ind w:leftChars="0"/>
        <w:jc w:val="both"/>
        <w:rPr>
          <w:b/>
          <w:u w:val="single"/>
          <w:lang w:val="en-US"/>
        </w:rPr>
      </w:pPr>
      <w:r>
        <w:rPr>
          <w:b/>
          <w:u w:val="single"/>
        </w:rPr>
        <w:t>S</w:t>
      </w:r>
      <w:r w:rsidRPr="00445435">
        <w:rPr>
          <w:b/>
          <w:u w:val="single"/>
          <w:lang w:val="en-US"/>
        </w:rPr>
        <w:t xml:space="preserve">eparate out </w:t>
      </w:r>
      <w:r>
        <w:rPr>
          <w:b/>
          <w:u w:val="single"/>
          <w:lang w:val="en-US"/>
        </w:rPr>
        <w:t>“SSB monitoring”, “multi-slot PDCCH monitoring”, and “PRACH”</w:t>
      </w:r>
      <w:r w:rsidRPr="00445435">
        <w:rPr>
          <w:b/>
          <w:u w:val="single"/>
          <w:lang w:val="en-US"/>
        </w:rPr>
        <w:t xml:space="preserve"> as new feature groups</w:t>
      </w:r>
      <w:r w:rsidRPr="00445435">
        <w:rPr>
          <w:b/>
          <w:u w:val="single"/>
          <w:lang w:eastAsia="x-none"/>
        </w:rPr>
        <w:t>;</w:t>
      </w:r>
    </w:p>
    <w:p w14:paraId="620A2E8F" w14:textId="77777777" w:rsidR="005D3C76" w:rsidRPr="00445435" w:rsidRDefault="005D3C76" w:rsidP="005D3C76">
      <w:pPr>
        <w:pStyle w:val="ListParagraph"/>
        <w:numPr>
          <w:ilvl w:val="0"/>
          <w:numId w:val="37"/>
        </w:numPr>
        <w:tabs>
          <w:tab w:val="left" w:pos="1300"/>
        </w:tabs>
        <w:spacing w:after="0"/>
        <w:ind w:leftChars="0"/>
        <w:jc w:val="both"/>
        <w:rPr>
          <w:b/>
          <w:u w:val="single"/>
          <w:lang w:val="en-US"/>
        </w:rPr>
      </w:pPr>
      <w:r w:rsidRPr="00445435">
        <w:rPr>
          <w:b/>
          <w:u w:val="single"/>
          <w:lang w:val="en-US"/>
        </w:rPr>
        <w:t>“Type” of the</w:t>
      </w:r>
      <w:r>
        <w:rPr>
          <w:b/>
          <w:u w:val="single"/>
          <w:lang w:val="en-US"/>
        </w:rPr>
        <w:t>se FGs are both</w:t>
      </w:r>
      <w:r w:rsidRPr="00445435">
        <w:rPr>
          <w:b/>
          <w:u w:val="single"/>
          <w:lang w:val="en-US"/>
        </w:rPr>
        <w:t xml:space="preserve"> “per band”;</w:t>
      </w:r>
    </w:p>
    <w:p w14:paraId="3BA90894" w14:textId="77777777" w:rsidR="005D3C76" w:rsidRDefault="005D3C76" w:rsidP="005D3C76">
      <w:pPr>
        <w:pStyle w:val="ListParagraph"/>
        <w:numPr>
          <w:ilvl w:val="0"/>
          <w:numId w:val="37"/>
        </w:numPr>
        <w:tabs>
          <w:tab w:val="left" w:pos="1300"/>
        </w:tabs>
        <w:spacing w:after="0"/>
        <w:ind w:leftChars="0"/>
        <w:jc w:val="both"/>
        <w:rPr>
          <w:b/>
          <w:u w:val="single"/>
          <w:lang w:val="en-US"/>
        </w:rPr>
      </w:pPr>
      <w:r>
        <w:rPr>
          <w:b/>
          <w:u w:val="single"/>
          <w:lang w:val="en-US"/>
        </w:rPr>
        <w:t>These FGs are both</w:t>
      </w:r>
      <w:r w:rsidRPr="00445435">
        <w:rPr>
          <w:b/>
          <w:u w:val="single"/>
          <w:lang w:val="en-US"/>
        </w:rPr>
        <w:t xml:space="preserve"> “</w:t>
      </w:r>
      <w:r>
        <w:rPr>
          <w:b/>
          <w:u w:val="single"/>
          <w:lang w:val="en-US"/>
        </w:rPr>
        <w:t>optional”;</w:t>
      </w:r>
    </w:p>
    <w:p w14:paraId="5EBAF8E5" w14:textId="77777777" w:rsidR="005D3C76" w:rsidRPr="00445435" w:rsidRDefault="005D3C76" w:rsidP="005D3C76">
      <w:pPr>
        <w:pStyle w:val="ListParagraph"/>
        <w:numPr>
          <w:ilvl w:val="0"/>
          <w:numId w:val="37"/>
        </w:numPr>
        <w:tabs>
          <w:tab w:val="left" w:pos="1300"/>
        </w:tabs>
        <w:spacing w:after="0"/>
        <w:ind w:leftChars="0"/>
        <w:jc w:val="both"/>
        <w:rPr>
          <w:b/>
          <w:u w:val="single"/>
          <w:lang w:val="en-US"/>
        </w:rPr>
      </w:pPr>
      <w:r>
        <w:rPr>
          <w:b/>
          <w:u w:val="single"/>
          <w:lang w:val="en-US"/>
        </w:rPr>
        <w:t>FG 24-3 doesn’t require FG 24-4 (after the separation) as perquisite FG.</w:t>
      </w:r>
    </w:p>
    <w:p w14:paraId="36F9C7CE" w14:textId="45EB4EF2" w:rsidR="005D3C76" w:rsidRDefault="005D3C76" w:rsidP="005D3C76">
      <w:pPr>
        <w:tabs>
          <w:tab w:val="left" w:pos="1300"/>
        </w:tabs>
        <w:spacing w:after="0"/>
        <w:jc w:val="both"/>
        <w:rPr>
          <w:b/>
          <w:u w:val="single"/>
          <w:lang w:val="en-US"/>
        </w:rPr>
      </w:pPr>
    </w:p>
    <w:p w14:paraId="4F09664F" w14:textId="77777777" w:rsidR="005D3C76" w:rsidRPr="006A74CB" w:rsidRDefault="005D3C76" w:rsidP="005D3C76">
      <w:pPr>
        <w:tabs>
          <w:tab w:val="left" w:pos="1300"/>
        </w:tabs>
        <w:spacing w:after="0"/>
        <w:jc w:val="both"/>
        <w:rPr>
          <w:b/>
          <w:u w:val="single"/>
          <w:lang w:val="en-US"/>
        </w:rPr>
      </w:pPr>
      <w:r w:rsidRPr="006A74CB">
        <w:rPr>
          <w:b/>
          <w:u w:val="single"/>
          <w:lang w:val="en-US"/>
        </w:rPr>
        <w:t xml:space="preserve">Proposal 3: Add the following </w:t>
      </w:r>
      <w:r>
        <w:rPr>
          <w:b/>
          <w:u w:val="single"/>
          <w:lang w:val="en-US"/>
        </w:rPr>
        <w:t>FGs requiring capability signalling:</w:t>
      </w:r>
    </w:p>
    <w:p w14:paraId="36A6CF2C" w14:textId="77777777" w:rsidR="005D3C76" w:rsidRPr="006A74CB" w:rsidRDefault="005D3C76" w:rsidP="005D3C76">
      <w:pPr>
        <w:pStyle w:val="ListParagraph"/>
        <w:numPr>
          <w:ilvl w:val="0"/>
          <w:numId w:val="38"/>
        </w:numPr>
        <w:spacing w:after="0"/>
        <w:ind w:leftChars="0"/>
        <w:rPr>
          <w:rFonts w:eastAsiaTheme="minorEastAsia"/>
          <w:b/>
          <w:u w:val="single"/>
          <w:lang w:val="en-US"/>
        </w:rPr>
      </w:pPr>
      <w:r w:rsidRPr="006A74CB">
        <w:rPr>
          <w:b/>
          <w:u w:val="single"/>
        </w:rPr>
        <w:t>2 codeword transmission for PDSCH</w:t>
      </w:r>
      <w:r>
        <w:rPr>
          <w:b/>
          <w:u w:val="single"/>
        </w:rPr>
        <w:t>, per band;</w:t>
      </w:r>
    </w:p>
    <w:p w14:paraId="3866A918" w14:textId="77777777" w:rsidR="005D3C76" w:rsidRPr="006A74CB" w:rsidRDefault="005D3C76" w:rsidP="005D3C76">
      <w:pPr>
        <w:pStyle w:val="ListParagraph"/>
        <w:numPr>
          <w:ilvl w:val="0"/>
          <w:numId w:val="38"/>
        </w:numPr>
        <w:spacing w:after="0"/>
        <w:ind w:leftChars="0"/>
        <w:rPr>
          <w:b/>
          <w:u w:val="single"/>
        </w:rPr>
      </w:pPr>
      <w:r w:rsidRPr="006A74CB">
        <w:rPr>
          <w:b/>
          <w:u w:val="single"/>
        </w:rPr>
        <w:t>Multiple PDSCH scheduled in a slot for 120 kHz SCS and single TRP operation</w:t>
      </w:r>
      <w:r>
        <w:rPr>
          <w:b/>
          <w:u w:val="single"/>
        </w:rPr>
        <w:t>, per band;</w:t>
      </w:r>
    </w:p>
    <w:p w14:paraId="5571DCF4" w14:textId="77777777" w:rsidR="005D3C76" w:rsidRPr="006A74CB" w:rsidRDefault="005D3C76" w:rsidP="005D3C76">
      <w:pPr>
        <w:pStyle w:val="ListParagraph"/>
        <w:numPr>
          <w:ilvl w:val="0"/>
          <w:numId w:val="38"/>
        </w:numPr>
        <w:spacing w:after="0"/>
        <w:ind w:leftChars="0"/>
        <w:rPr>
          <w:b/>
          <w:u w:val="single"/>
        </w:rPr>
      </w:pPr>
      <w:r w:rsidRPr="006A74CB">
        <w:rPr>
          <w:b/>
          <w:u w:val="single"/>
        </w:rPr>
        <w:t>Multiple PUSCH scheduled in a slot for 120 kHz SCS and single TRP operation</w:t>
      </w:r>
      <w:r>
        <w:rPr>
          <w:b/>
          <w:u w:val="single"/>
        </w:rPr>
        <w:t>, per band;</w:t>
      </w:r>
    </w:p>
    <w:p w14:paraId="0C365150" w14:textId="77777777" w:rsidR="005D3C76" w:rsidRPr="006A74CB" w:rsidRDefault="005D3C76" w:rsidP="005D3C76">
      <w:pPr>
        <w:pStyle w:val="ListParagraph"/>
        <w:numPr>
          <w:ilvl w:val="0"/>
          <w:numId w:val="38"/>
        </w:numPr>
        <w:spacing w:after="0"/>
        <w:ind w:leftChars="0"/>
        <w:rPr>
          <w:b/>
          <w:u w:val="single"/>
        </w:rPr>
      </w:pPr>
      <w:r w:rsidRPr="006A74CB">
        <w:rPr>
          <w:b/>
          <w:u w:val="single"/>
        </w:rPr>
        <w:t>32 maximum number of HARQ processes for DL</w:t>
      </w:r>
      <w:r>
        <w:rPr>
          <w:b/>
          <w:u w:val="single"/>
        </w:rPr>
        <w:t>, per FSPC;</w:t>
      </w:r>
    </w:p>
    <w:p w14:paraId="1ADA2748" w14:textId="77777777" w:rsidR="005D3C76" w:rsidRPr="006A74CB" w:rsidRDefault="005D3C76" w:rsidP="005D3C76">
      <w:pPr>
        <w:pStyle w:val="ListParagraph"/>
        <w:numPr>
          <w:ilvl w:val="0"/>
          <w:numId w:val="38"/>
        </w:numPr>
        <w:spacing w:after="0"/>
        <w:ind w:leftChars="0"/>
        <w:rPr>
          <w:b/>
          <w:u w:val="single"/>
        </w:rPr>
      </w:pPr>
      <w:r w:rsidRPr="006A74CB">
        <w:rPr>
          <w:b/>
          <w:u w:val="single"/>
        </w:rPr>
        <w:t>32 maximum number of HARQ processes for UL</w:t>
      </w:r>
      <w:r>
        <w:rPr>
          <w:b/>
          <w:u w:val="single"/>
        </w:rPr>
        <w:t>, per FSPC.</w:t>
      </w:r>
    </w:p>
    <w:p w14:paraId="6F406703" w14:textId="2E9C6603" w:rsidR="005D3C76" w:rsidRDefault="005D3C76" w:rsidP="005D3C76">
      <w:pPr>
        <w:tabs>
          <w:tab w:val="left" w:pos="1300"/>
        </w:tabs>
        <w:spacing w:after="0"/>
        <w:jc w:val="both"/>
        <w:rPr>
          <w:b/>
          <w:u w:val="single"/>
        </w:rPr>
      </w:pPr>
    </w:p>
    <w:p w14:paraId="12365056" w14:textId="77777777" w:rsidR="005D3C76" w:rsidRPr="006A74CB" w:rsidRDefault="005D3C76" w:rsidP="005D3C76">
      <w:pPr>
        <w:tabs>
          <w:tab w:val="left" w:pos="1300"/>
        </w:tabs>
        <w:spacing w:after="0"/>
        <w:jc w:val="both"/>
        <w:rPr>
          <w:b/>
          <w:u w:val="single"/>
          <w:lang w:val="en-US"/>
        </w:rPr>
      </w:pPr>
      <w:r w:rsidRPr="006A74CB">
        <w:rPr>
          <w:b/>
          <w:u w:val="single"/>
          <w:lang w:val="en-US"/>
        </w:rPr>
        <w:t>Prop</w:t>
      </w:r>
      <w:r>
        <w:rPr>
          <w:b/>
          <w:u w:val="single"/>
          <w:lang w:val="en-US"/>
        </w:rPr>
        <w:t>osal 4</w:t>
      </w:r>
      <w:r w:rsidRPr="006A74CB">
        <w:rPr>
          <w:b/>
          <w:u w:val="single"/>
          <w:lang w:val="en-US"/>
        </w:rPr>
        <w:t xml:space="preserve">: </w:t>
      </w:r>
      <w:r>
        <w:rPr>
          <w:b/>
          <w:u w:val="single"/>
          <w:lang w:val="en-US"/>
        </w:rPr>
        <w:t>For 60 GHz unlicensed band, a</w:t>
      </w:r>
      <w:r w:rsidRPr="006A74CB">
        <w:rPr>
          <w:b/>
          <w:u w:val="single"/>
          <w:lang w:val="en-US"/>
        </w:rPr>
        <w:t xml:space="preserve">dd </w:t>
      </w:r>
      <w:r>
        <w:rPr>
          <w:b/>
          <w:u w:val="single"/>
          <w:lang w:val="en-US"/>
        </w:rPr>
        <w:t>more FGs carried over from Rel-16 NR-U.</w:t>
      </w:r>
    </w:p>
    <w:p w14:paraId="5BD0B42C" w14:textId="7748FAB3" w:rsidR="001E1F0A" w:rsidRDefault="00F34076"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0A38A4FB" w14:textId="61D2B9EE" w:rsidR="009D3832" w:rsidRPr="00F34076" w:rsidRDefault="00F34076" w:rsidP="00C6059D">
      <w:pPr>
        <w:rPr>
          <w:lang w:val="en-US" w:eastAsia="ja-JP"/>
        </w:rPr>
      </w:pPr>
      <w:r>
        <w:rPr>
          <w:lang w:val="en-US" w:eastAsia="ja-JP"/>
        </w:rPr>
        <w:t xml:space="preserve">[1] </w:t>
      </w:r>
      <w:r w:rsidR="00A31EC1" w:rsidRPr="00A31EC1">
        <w:rPr>
          <w:lang w:val="en-US" w:eastAsia="ja-JP"/>
        </w:rPr>
        <w:t>R1-2108679</w:t>
      </w:r>
      <w:r w:rsidR="00A31EC1">
        <w:rPr>
          <w:lang w:val="en-US" w:eastAsia="ja-JP"/>
        </w:rPr>
        <w:t xml:space="preserve">, </w:t>
      </w:r>
      <w:r w:rsidR="00A31EC1" w:rsidRPr="00A31EC1">
        <w:rPr>
          <w:lang w:val="en-US" w:eastAsia="ja-JP"/>
        </w:rPr>
        <w:t>Preliminary RAN1 UE features list for Rel-17 NR</w:t>
      </w:r>
      <w:r w:rsidR="00A31EC1">
        <w:rPr>
          <w:lang w:val="en-US" w:eastAsia="ja-JP"/>
        </w:rPr>
        <w:t xml:space="preserve">, </w:t>
      </w:r>
      <w:r w:rsidR="00A31EC1" w:rsidRPr="00A31EC1">
        <w:rPr>
          <w:lang w:val="en-US" w:eastAsia="ja-JP"/>
        </w:rPr>
        <w:t>Moderators (AT&amp;T, NTT DOCOMO, INC.)</w:t>
      </w:r>
      <w:r w:rsidR="00A31EC1">
        <w:rPr>
          <w:lang w:val="en-US" w:eastAsia="ja-JP"/>
        </w:rPr>
        <w:t xml:space="preserve">, August, 2021. </w:t>
      </w:r>
    </w:p>
    <w:sectPr w:rsidR="009D3832" w:rsidRPr="00F34076"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F0F46" w14:textId="77777777" w:rsidR="00570642" w:rsidRDefault="00570642" w:rsidP="00083046">
      <w:r>
        <w:separator/>
      </w:r>
    </w:p>
  </w:endnote>
  <w:endnote w:type="continuationSeparator" w:id="0">
    <w:p w14:paraId="4D19C8ED" w14:textId="77777777" w:rsidR="00570642" w:rsidRDefault="00570642"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B2932" w14:textId="77777777" w:rsidR="00570642" w:rsidRDefault="00570642" w:rsidP="00083046">
      <w:r>
        <w:separator/>
      </w:r>
    </w:p>
  </w:footnote>
  <w:footnote w:type="continuationSeparator" w:id="0">
    <w:p w14:paraId="3B820D44" w14:textId="77777777" w:rsidR="00570642" w:rsidRDefault="00570642"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BE14D3" w:rsidRDefault="00BE14D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1770E4"/>
    <w:multiLevelType w:val="hybridMultilevel"/>
    <w:tmpl w:val="6A9C7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F7EF2"/>
    <w:multiLevelType w:val="hybridMultilevel"/>
    <w:tmpl w:val="C3461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595388"/>
    <w:multiLevelType w:val="hybridMultilevel"/>
    <w:tmpl w:val="7FEA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62BA2"/>
    <w:multiLevelType w:val="hybridMultilevel"/>
    <w:tmpl w:val="3F96C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9DA5C43"/>
    <w:multiLevelType w:val="hybridMultilevel"/>
    <w:tmpl w:val="9558C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2B5F25"/>
    <w:multiLevelType w:val="hybridMultilevel"/>
    <w:tmpl w:val="041CE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862324"/>
    <w:multiLevelType w:val="hybridMultilevel"/>
    <w:tmpl w:val="C002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821C47"/>
    <w:multiLevelType w:val="hybridMultilevel"/>
    <w:tmpl w:val="10165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1957C5"/>
    <w:multiLevelType w:val="hybridMultilevel"/>
    <w:tmpl w:val="D88C0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5A503C"/>
    <w:multiLevelType w:val="multilevel"/>
    <w:tmpl w:val="335A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056229"/>
    <w:multiLevelType w:val="hybridMultilevel"/>
    <w:tmpl w:val="0A8CE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20606D1"/>
    <w:multiLevelType w:val="multilevel"/>
    <w:tmpl w:val="52060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3051D6"/>
    <w:multiLevelType w:val="hybridMultilevel"/>
    <w:tmpl w:val="95AA2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4C39EF"/>
    <w:multiLevelType w:val="hybridMultilevel"/>
    <w:tmpl w:val="7940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AA3903"/>
    <w:multiLevelType w:val="hybridMultilevel"/>
    <w:tmpl w:val="AD10AF98"/>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31" w15:restartNumberingAfterBreak="0">
    <w:nsid w:val="6E4922BB"/>
    <w:multiLevelType w:val="hybridMultilevel"/>
    <w:tmpl w:val="2A8A7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25"/>
  </w:num>
  <w:num w:numId="4">
    <w:abstractNumId w:val="33"/>
  </w:num>
  <w:num w:numId="5">
    <w:abstractNumId w:val="22"/>
  </w:num>
  <w:num w:numId="6">
    <w:abstractNumId w:val="34"/>
  </w:num>
  <w:num w:numId="7">
    <w:abstractNumId w:val="23"/>
  </w:num>
  <w:num w:numId="8">
    <w:abstractNumId w:val="9"/>
  </w:num>
  <w:num w:numId="9">
    <w:abstractNumId w:val="4"/>
  </w:num>
  <w:num w:numId="10">
    <w:abstractNumId w:val="6"/>
  </w:num>
  <w:num w:numId="11">
    <w:abstractNumId w:val="28"/>
  </w:num>
  <w:num w:numId="12">
    <w:abstractNumId w:val="15"/>
  </w:num>
  <w:num w:numId="13">
    <w:abstractNumId w:val="10"/>
  </w:num>
  <w:num w:numId="14">
    <w:abstractNumId w:val="13"/>
  </w:num>
  <w:num w:numId="15">
    <w:abstractNumId w:val="29"/>
  </w:num>
  <w:num w:numId="16">
    <w:abstractNumId w:val="11"/>
  </w:num>
  <w:num w:numId="17">
    <w:abstractNumId w:val="16"/>
  </w:num>
  <w:num w:numId="18">
    <w:abstractNumId w:val="29"/>
  </w:num>
  <w:num w:numId="19">
    <w:abstractNumId w:val="0"/>
  </w:num>
  <w:num w:numId="20">
    <w:abstractNumId w:val="17"/>
  </w:num>
  <w:num w:numId="21">
    <w:abstractNumId w:val="19"/>
  </w:num>
  <w:num w:numId="22">
    <w:abstractNumId w:val="7"/>
  </w:num>
  <w:num w:numId="23">
    <w:abstractNumId w:val="31"/>
  </w:num>
  <w:num w:numId="24">
    <w:abstractNumId w:val="27"/>
  </w:num>
  <w:num w:numId="25">
    <w:abstractNumId w:val="8"/>
  </w:num>
  <w:num w:numId="26">
    <w:abstractNumId w:val="21"/>
  </w:num>
  <w:num w:numId="27">
    <w:abstractNumId w:val="18"/>
  </w:num>
  <w:num w:numId="28">
    <w:abstractNumId w:val="14"/>
  </w:num>
  <w:num w:numId="29">
    <w:abstractNumId w:val="30"/>
  </w:num>
  <w:num w:numId="30">
    <w:abstractNumId w:val="2"/>
  </w:num>
  <w:num w:numId="31">
    <w:abstractNumId w:val="20"/>
  </w:num>
  <w:num w:numId="32">
    <w:abstractNumId w:val="3"/>
  </w:num>
  <w:num w:numId="33">
    <w:abstractNumId w:val="35"/>
  </w:num>
  <w:num w:numId="34">
    <w:abstractNumId w:val="24"/>
  </w:num>
  <w:num w:numId="35">
    <w:abstractNumId w:val="32"/>
  </w:num>
  <w:num w:numId="36">
    <w:abstractNumId w:val="26"/>
  </w:num>
  <w:num w:numId="37">
    <w:abstractNumId w:val="1"/>
  </w:num>
  <w:num w:numId="3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5E00"/>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892"/>
    <w:rsid w:val="00053930"/>
    <w:rsid w:val="000541F0"/>
    <w:rsid w:val="000543C0"/>
    <w:rsid w:val="000544EE"/>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67"/>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5DD0"/>
    <w:rsid w:val="00266890"/>
    <w:rsid w:val="00266901"/>
    <w:rsid w:val="00266985"/>
    <w:rsid w:val="002669E5"/>
    <w:rsid w:val="00266A3B"/>
    <w:rsid w:val="00266A6D"/>
    <w:rsid w:val="00266C95"/>
    <w:rsid w:val="002679C3"/>
    <w:rsid w:val="0027034B"/>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4AE8"/>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6DB1"/>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435"/>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3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642"/>
    <w:rsid w:val="00570A66"/>
    <w:rsid w:val="00571745"/>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77B"/>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C76"/>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192"/>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387"/>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1A3"/>
    <w:rsid w:val="00696206"/>
    <w:rsid w:val="006967C7"/>
    <w:rsid w:val="006969A7"/>
    <w:rsid w:val="00696E55"/>
    <w:rsid w:val="006975BC"/>
    <w:rsid w:val="0069764F"/>
    <w:rsid w:val="006976D9"/>
    <w:rsid w:val="006977DE"/>
    <w:rsid w:val="00697B5F"/>
    <w:rsid w:val="006A0925"/>
    <w:rsid w:val="006A0E4D"/>
    <w:rsid w:val="006A1DD4"/>
    <w:rsid w:val="006A25EB"/>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4CB"/>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DF9"/>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24E6"/>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1867"/>
    <w:rsid w:val="00842ABE"/>
    <w:rsid w:val="0084354B"/>
    <w:rsid w:val="00843618"/>
    <w:rsid w:val="00843705"/>
    <w:rsid w:val="00843C50"/>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0A6"/>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685"/>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1EC1"/>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4932"/>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A51"/>
    <w:rsid w:val="00AE7D0F"/>
    <w:rsid w:val="00AE7E06"/>
    <w:rsid w:val="00AE7FA8"/>
    <w:rsid w:val="00AF032B"/>
    <w:rsid w:val="00AF0569"/>
    <w:rsid w:val="00AF05C7"/>
    <w:rsid w:val="00AF05EB"/>
    <w:rsid w:val="00AF0AF9"/>
    <w:rsid w:val="00AF0C3B"/>
    <w:rsid w:val="00AF0E2B"/>
    <w:rsid w:val="00AF10C0"/>
    <w:rsid w:val="00AF1100"/>
    <w:rsid w:val="00AF1310"/>
    <w:rsid w:val="00AF1F04"/>
    <w:rsid w:val="00AF2653"/>
    <w:rsid w:val="00AF2A2B"/>
    <w:rsid w:val="00AF2DD0"/>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0B35"/>
    <w:rsid w:val="00DB11AA"/>
    <w:rsid w:val="00DB14D9"/>
    <w:rsid w:val="00DB15A2"/>
    <w:rsid w:val="00DB1AEC"/>
    <w:rsid w:val="00DB20BE"/>
    <w:rsid w:val="00DB22CD"/>
    <w:rsid w:val="00DB3288"/>
    <w:rsid w:val="00DB44A2"/>
    <w:rsid w:val="00DB50FB"/>
    <w:rsid w:val="00DB5D81"/>
    <w:rsid w:val="00DB7680"/>
    <w:rsid w:val="00DB7683"/>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90A"/>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338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8D2DF-8414-4AB0-87BA-B68734227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656</Words>
  <Characters>3742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2021-08-04T08:16:00Z</dcterms:created>
  <dcterms:modified xsi:type="dcterms:W3CDTF">2021-10-01T14:10:00Z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